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4FD93C3" w14:textId="763BED03" w:rsidR="008A2C98" w:rsidRPr="008474CD" w:rsidRDefault="00DA27FC" w:rsidP="006F6847">
      <w:pPr>
        <w:spacing w:after="11" w:line="259" w:lineRule="auto"/>
        <w:ind w:left="0" w:firstLine="0"/>
        <w:jc w:val="center"/>
        <w:rPr>
          <w:b/>
          <w:bCs/>
          <w:szCs w:val="24"/>
        </w:rPr>
      </w:pPr>
      <w:r w:rsidRPr="008474CD">
        <w:rPr>
          <w:b/>
          <w:bCs/>
          <w:szCs w:val="24"/>
        </w:rPr>
        <w:t>Telehealth Consent Form</w:t>
      </w:r>
    </w:p>
    <w:p w14:paraId="74007CA1" w14:textId="77777777" w:rsidR="00DA27FC" w:rsidRPr="008474CD" w:rsidRDefault="00DA27FC">
      <w:pPr>
        <w:spacing w:after="11" w:line="259" w:lineRule="auto"/>
        <w:ind w:left="101" w:firstLine="0"/>
        <w:jc w:val="center"/>
        <w:rPr>
          <w:sz w:val="22"/>
        </w:rPr>
      </w:pPr>
    </w:p>
    <w:p w14:paraId="7FCFFE09" w14:textId="2B56EB31" w:rsidR="008A2C98" w:rsidRPr="008474CD" w:rsidRDefault="00DA27FC" w:rsidP="00DA27FC">
      <w:pPr>
        <w:spacing w:line="259" w:lineRule="auto"/>
        <w:ind w:left="38" w:hanging="10"/>
        <w:rPr>
          <w:sz w:val="22"/>
        </w:rPr>
      </w:pPr>
      <w:r w:rsidRPr="008474CD">
        <w:rPr>
          <w:sz w:val="22"/>
        </w:rPr>
        <w:t>Client Name: __________________________________</w:t>
      </w:r>
    </w:p>
    <w:p w14:paraId="6951901C" w14:textId="5DABFDDD" w:rsidR="008A2C98" w:rsidRPr="008474CD" w:rsidRDefault="00DA27FC">
      <w:pPr>
        <w:spacing w:after="135"/>
        <w:ind w:left="28" w:right="14"/>
        <w:rPr>
          <w:sz w:val="22"/>
        </w:rPr>
      </w:pPr>
      <w:r w:rsidRPr="008474CD">
        <w:rPr>
          <w:sz w:val="22"/>
        </w:rPr>
        <w:t xml:space="preserve">I agree to receive my outpatient behavioral health services through Telehealth. I understand that the behavioral health care provider </w:t>
      </w:r>
      <w:proofErr w:type="gramStart"/>
      <w:r w:rsidRPr="008474CD">
        <w:rPr>
          <w:sz w:val="22"/>
        </w:rPr>
        <w:t>is</w:t>
      </w:r>
      <w:r w:rsidR="00A51AE1" w:rsidRPr="008474CD">
        <w:rPr>
          <w:sz w:val="22"/>
        </w:rPr>
        <w:t xml:space="preserve"> </w:t>
      </w:r>
      <w:r w:rsidRPr="008474CD">
        <w:rPr>
          <w:sz w:val="22"/>
        </w:rPr>
        <w:t>located in</w:t>
      </w:r>
      <w:proofErr w:type="gramEnd"/>
      <w:r w:rsidRPr="008474CD">
        <w:rPr>
          <w:sz w:val="22"/>
        </w:rPr>
        <w:t xml:space="preserve"> an alternate approved location.</w:t>
      </w:r>
    </w:p>
    <w:p w14:paraId="7912714A" w14:textId="71F71CFE" w:rsidR="008A2C98" w:rsidRPr="008474CD" w:rsidRDefault="00DA27FC">
      <w:pPr>
        <w:spacing w:after="257" w:line="216" w:lineRule="auto"/>
        <w:ind w:right="29" w:hanging="14"/>
        <w:jc w:val="both"/>
        <w:rPr>
          <w:sz w:val="22"/>
        </w:rPr>
      </w:pPr>
      <w:r w:rsidRPr="008474CD">
        <w:rPr>
          <w:sz w:val="22"/>
        </w:rPr>
        <w:t>A telehealth service means that my visit with a practitioner at the distant site will happen by using special audiovisual equipment. Awakenings Christian Counseling telehealth service uses a secure web</w:t>
      </w:r>
      <w:r w:rsidR="00A51AE1" w:rsidRPr="008474CD">
        <w:rPr>
          <w:sz w:val="22"/>
        </w:rPr>
        <w:t>-</w:t>
      </w:r>
      <w:r w:rsidRPr="008474CD">
        <w:rPr>
          <w:sz w:val="22"/>
        </w:rPr>
        <w:t>based system (Doxy.me) for transmitting audio and video data. To ensure privacy, the data is encrypted at the highest level available for telehealth.</w:t>
      </w:r>
    </w:p>
    <w:p w14:paraId="53910C08" w14:textId="77777777" w:rsidR="008A2C98" w:rsidRPr="008474CD" w:rsidRDefault="00DA27FC">
      <w:pPr>
        <w:spacing w:after="100"/>
        <w:ind w:left="28" w:right="14"/>
        <w:rPr>
          <w:sz w:val="22"/>
        </w:rPr>
      </w:pPr>
      <w:r w:rsidRPr="008474CD">
        <w:rPr>
          <w:sz w:val="22"/>
        </w:rPr>
        <w:t>This consent is valid for one year for follow-up telehealth services with the health care provider.</w:t>
      </w:r>
    </w:p>
    <w:p w14:paraId="7E877B53" w14:textId="77777777" w:rsidR="008A2C98" w:rsidRPr="008474CD" w:rsidRDefault="00DA27FC">
      <w:pPr>
        <w:ind w:left="28" w:right="14"/>
        <w:rPr>
          <w:sz w:val="22"/>
        </w:rPr>
      </w:pPr>
      <w:r w:rsidRPr="008474CD">
        <w:rPr>
          <w:sz w:val="22"/>
        </w:rPr>
        <w:t>I also understand that:</w:t>
      </w:r>
    </w:p>
    <w:p w14:paraId="2E9318FD" w14:textId="77777777" w:rsidR="008A2C98" w:rsidRPr="008474CD" w:rsidRDefault="00DA27FC" w:rsidP="008474CD">
      <w:pPr>
        <w:pStyle w:val="ListParagraph"/>
        <w:numPr>
          <w:ilvl w:val="0"/>
          <w:numId w:val="2"/>
        </w:numPr>
        <w:ind w:right="14"/>
        <w:rPr>
          <w:sz w:val="22"/>
        </w:rPr>
      </w:pPr>
      <w:r w:rsidRPr="008474CD">
        <w:rPr>
          <w:sz w:val="22"/>
        </w:rPr>
        <w:t>I can decline the telehealth service at any time without affecting my right to future care or treatment, and any program benefits to which I would otherwise be entitled cannot be taken away.</w:t>
      </w:r>
    </w:p>
    <w:p w14:paraId="5C3262DF" w14:textId="77777777" w:rsidR="008A2C98" w:rsidRPr="008474CD" w:rsidRDefault="00DA27FC" w:rsidP="008474CD">
      <w:pPr>
        <w:pStyle w:val="ListParagraph"/>
        <w:numPr>
          <w:ilvl w:val="0"/>
          <w:numId w:val="2"/>
        </w:numPr>
        <w:ind w:right="14"/>
        <w:rPr>
          <w:sz w:val="22"/>
        </w:rPr>
      </w:pPr>
      <w:r w:rsidRPr="008474CD">
        <w:rPr>
          <w:sz w:val="22"/>
        </w:rPr>
        <w:t>I may have to travel to see a health care practitioner in-person if I decline the telehealth service.</w:t>
      </w:r>
    </w:p>
    <w:p w14:paraId="1407F15C" w14:textId="77777777" w:rsidR="008A2C98" w:rsidRPr="008474CD" w:rsidRDefault="00DA27FC" w:rsidP="008474CD">
      <w:pPr>
        <w:ind w:left="720" w:right="14" w:firstLine="0"/>
        <w:rPr>
          <w:sz w:val="22"/>
        </w:rPr>
      </w:pPr>
      <w:r w:rsidRPr="008474CD">
        <w:rPr>
          <w:sz w:val="22"/>
        </w:rPr>
        <w:t>The same confidentiality protections that apply to my other behavioral health care and consents also apply to the telehealth service.</w:t>
      </w:r>
    </w:p>
    <w:p w14:paraId="0FC322ED" w14:textId="77777777" w:rsidR="008A2C98" w:rsidRPr="008474CD" w:rsidRDefault="00DA27FC" w:rsidP="008474CD">
      <w:pPr>
        <w:pStyle w:val="ListParagraph"/>
        <w:numPr>
          <w:ilvl w:val="0"/>
          <w:numId w:val="3"/>
        </w:numPr>
        <w:ind w:right="14"/>
        <w:rPr>
          <w:sz w:val="22"/>
        </w:rPr>
      </w:pPr>
      <w:r w:rsidRPr="008474CD">
        <w:rPr>
          <w:sz w:val="22"/>
        </w:rPr>
        <w:t>I will have access to all behavioral health treatment information resulting from the telehealth service as provided by law and according to the existing Awakenings Christian Counseling confidentiality policies.</w:t>
      </w:r>
    </w:p>
    <w:p w14:paraId="4C1FA308" w14:textId="77777777" w:rsidR="008A2C98" w:rsidRPr="008474CD" w:rsidRDefault="00DA27FC" w:rsidP="008474CD">
      <w:pPr>
        <w:pStyle w:val="ListParagraph"/>
        <w:numPr>
          <w:ilvl w:val="0"/>
          <w:numId w:val="3"/>
        </w:numPr>
        <w:ind w:right="14"/>
        <w:rPr>
          <w:sz w:val="22"/>
        </w:rPr>
      </w:pPr>
      <w:r w:rsidRPr="008474CD">
        <w:rPr>
          <w:sz w:val="22"/>
        </w:rPr>
        <w:t>The information from the telehealth service cannot be released to anyone else without my additional written consent.</w:t>
      </w:r>
    </w:p>
    <w:p w14:paraId="74BE47F0" w14:textId="77777777" w:rsidR="008A2C98" w:rsidRPr="008474CD" w:rsidRDefault="00DA27FC" w:rsidP="008474CD">
      <w:pPr>
        <w:pStyle w:val="ListParagraph"/>
        <w:numPr>
          <w:ilvl w:val="0"/>
          <w:numId w:val="3"/>
        </w:numPr>
        <w:ind w:right="14"/>
        <w:rPr>
          <w:sz w:val="22"/>
        </w:rPr>
      </w:pPr>
      <w:r w:rsidRPr="008474CD">
        <w:rPr>
          <w:sz w:val="22"/>
        </w:rPr>
        <w:t>Client will be in a private room and secure site for all sessions as will the therapist.</w:t>
      </w:r>
    </w:p>
    <w:p w14:paraId="42DAC0D1" w14:textId="09AE1ECD" w:rsidR="008A2C98" w:rsidRPr="008474CD" w:rsidRDefault="00DA27FC" w:rsidP="008474CD">
      <w:pPr>
        <w:pStyle w:val="ListParagraph"/>
        <w:numPr>
          <w:ilvl w:val="0"/>
          <w:numId w:val="3"/>
        </w:numPr>
        <w:ind w:right="14"/>
        <w:rPr>
          <w:sz w:val="22"/>
        </w:rPr>
      </w:pPr>
      <w:r w:rsidRPr="008474CD">
        <w:rPr>
          <w:sz w:val="22"/>
        </w:rPr>
        <w:t>I may exclude</w:t>
      </w:r>
      <w:r w:rsidR="00A51AE1" w:rsidRPr="008474CD">
        <w:rPr>
          <w:sz w:val="22"/>
        </w:rPr>
        <w:t xml:space="preserve"> / i</w:t>
      </w:r>
      <w:r w:rsidRPr="008474CD">
        <w:rPr>
          <w:sz w:val="22"/>
        </w:rPr>
        <w:t>nclude anyone from any site during my telehealth service.</w:t>
      </w:r>
    </w:p>
    <w:p w14:paraId="5D23EADD" w14:textId="77777777" w:rsidR="008A2C98" w:rsidRPr="008474CD" w:rsidRDefault="00DA27FC" w:rsidP="008474CD">
      <w:pPr>
        <w:pStyle w:val="ListParagraph"/>
        <w:numPr>
          <w:ilvl w:val="0"/>
          <w:numId w:val="3"/>
        </w:numPr>
        <w:ind w:right="14"/>
        <w:rPr>
          <w:sz w:val="22"/>
        </w:rPr>
      </w:pPr>
      <w:r w:rsidRPr="008474CD">
        <w:rPr>
          <w:sz w:val="22"/>
        </w:rPr>
        <w:t>I may see an appropriately trained staff person or employee in-person immediately after the telehealth service if an urgent need arises and if needed (211) or (911) services including duty to warn may be needed if counselor deems necessary if observed during the telehealth session.</w:t>
      </w:r>
    </w:p>
    <w:p w14:paraId="45F6116D" w14:textId="77777777" w:rsidR="008A2C98" w:rsidRPr="008474CD" w:rsidRDefault="00DA27FC" w:rsidP="008474CD">
      <w:pPr>
        <w:pStyle w:val="ListParagraph"/>
        <w:numPr>
          <w:ilvl w:val="0"/>
          <w:numId w:val="3"/>
        </w:numPr>
        <w:spacing w:after="182"/>
        <w:ind w:right="14"/>
        <w:rPr>
          <w:sz w:val="22"/>
        </w:rPr>
      </w:pPr>
      <w:r w:rsidRPr="008474CD">
        <w:rPr>
          <w:sz w:val="22"/>
        </w:rPr>
        <w:t>If I decline the telehealth services, the other options/alternatives available for me include in-person meetings only.</w:t>
      </w:r>
    </w:p>
    <w:p w14:paraId="0C076714" w14:textId="77777777" w:rsidR="008A2C98" w:rsidRPr="008474CD" w:rsidRDefault="00DA27FC">
      <w:pPr>
        <w:ind w:left="28" w:right="14"/>
        <w:rPr>
          <w:sz w:val="22"/>
        </w:rPr>
      </w:pPr>
      <w:r w:rsidRPr="008474CD">
        <w:rPr>
          <w:sz w:val="22"/>
        </w:rPr>
        <w:t>I have read this document carefully. and my questions have been answered to my satisfaction.</w:t>
      </w:r>
    </w:p>
    <w:p w14:paraId="130A3400" w14:textId="77777777" w:rsidR="008A2C98" w:rsidRPr="008474CD" w:rsidRDefault="00DA27FC">
      <w:pPr>
        <w:tabs>
          <w:tab w:val="center" w:pos="7064"/>
        </w:tabs>
        <w:spacing w:line="259" w:lineRule="auto"/>
        <w:ind w:left="0" w:firstLine="0"/>
        <w:rPr>
          <w:sz w:val="22"/>
        </w:rPr>
      </w:pPr>
      <w:r w:rsidRPr="008474CD">
        <w:rPr>
          <w:sz w:val="22"/>
        </w:rPr>
        <w:t>Client Signature:</w:t>
      </w:r>
      <w:r w:rsidRPr="008474CD">
        <w:rPr>
          <w:sz w:val="22"/>
        </w:rPr>
        <w:tab/>
        <w:t>Date</w:t>
      </w:r>
    </w:p>
    <w:p w14:paraId="09798D4A" w14:textId="77777777" w:rsidR="008A2C98" w:rsidRPr="008474CD" w:rsidRDefault="00DA27FC">
      <w:pPr>
        <w:spacing w:after="535" w:line="259" w:lineRule="auto"/>
        <w:ind w:left="1644" w:firstLine="0"/>
        <w:rPr>
          <w:sz w:val="22"/>
        </w:rPr>
      </w:pPr>
      <w:r w:rsidRPr="008474CD">
        <w:rPr>
          <w:noProof/>
          <w:sz w:val="22"/>
        </w:rPr>
        <w:drawing>
          <wp:inline distT="0" distB="0" distL="0" distR="0" wp14:anchorId="3B671A97" wp14:editId="7D73F130">
            <wp:extent cx="5383005" cy="36575"/>
            <wp:effectExtent l="0" t="0" r="0" b="0"/>
            <wp:docPr id="4061" name="Picture 4061"/>
            <wp:cNvGraphicFramePr/>
            <a:graphic xmlns:a="http://schemas.openxmlformats.org/drawingml/2006/main">
              <a:graphicData uri="http://schemas.openxmlformats.org/drawingml/2006/picture">
                <pic:pic xmlns:pic="http://schemas.openxmlformats.org/drawingml/2006/picture">
                  <pic:nvPicPr>
                    <pic:cNvPr id="4061" name="Picture 4061"/>
                    <pic:cNvPicPr/>
                  </pic:nvPicPr>
                  <pic:blipFill>
                    <a:blip r:embed="rId8"/>
                    <a:stretch>
                      <a:fillRect/>
                    </a:stretch>
                  </pic:blipFill>
                  <pic:spPr>
                    <a:xfrm>
                      <a:off x="0" y="0"/>
                      <a:ext cx="5383005" cy="36575"/>
                    </a:xfrm>
                    <a:prstGeom prst="rect">
                      <a:avLst/>
                    </a:prstGeom>
                  </pic:spPr>
                </pic:pic>
              </a:graphicData>
            </a:graphic>
          </wp:inline>
        </w:drawing>
      </w:r>
    </w:p>
    <w:p w14:paraId="172E0695" w14:textId="77777777" w:rsidR="008A2C98" w:rsidRPr="008474CD" w:rsidRDefault="00DA27FC">
      <w:pPr>
        <w:tabs>
          <w:tab w:val="center" w:pos="7014"/>
        </w:tabs>
        <w:spacing w:after="444"/>
        <w:ind w:left="0" w:firstLine="0"/>
        <w:rPr>
          <w:sz w:val="22"/>
        </w:rPr>
      </w:pPr>
      <w:r w:rsidRPr="008474CD">
        <w:rPr>
          <w:noProof/>
          <w:sz w:val="22"/>
        </w:rPr>
        <w:drawing>
          <wp:anchor distT="0" distB="0" distL="114300" distR="114300" simplePos="0" relativeHeight="251659264" behindDoc="0" locked="0" layoutInCell="1" allowOverlap="0" wp14:anchorId="63F8B293" wp14:editId="56E7A038">
            <wp:simplePos x="0" y="0"/>
            <wp:positionH relativeFrom="column">
              <wp:posOffset>1702787</wp:posOffset>
            </wp:positionH>
            <wp:positionV relativeFrom="paragraph">
              <wp:posOffset>117547</wp:posOffset>
            </wp:positionV>
            <wp:extent cx="4769636" cy="27432"/>
            <wp:effectExtent l="0" t="0" r="0" b="0"/>
            <wp:wrapSquare wrapText="bothSides"/>
            <wp:docPr id="4063" name="Picture 4063"/>
            <wp:cNvGraphicFramePr/>
            <a:graphic xmlns:a="http://schemas.openxmlformats.org/drawingml/2006/main">
              <a:graphicData uri="http://schemas.openxmlformats.org/drawingml/2006/picture">
                <pic:pic xmlns:pic="http://schemas.openxmlformats.org/drawingml/2006/picture">
                  <pic:nvPicPr>
                    <pic:cNvPr id="4063" name="Picture 4063"/>
                    <pic:cNvPicPr/>
                  </pic:nvPicPr>
                  <pic:blipFill>
                    <a:blip r:embed="rId9"/>
                    <a:stretch>
                      <a:fillRect/>
                    </a:stretch>
                  </pic:blipFill>
                  <pic:spPr>
                    <a:xfrm>
                      <a:off x="0" y="0"/>
                      <a:ext cx="4769636" cy="27432"/>
                    </a:xfrm>
                    <a:prstGeom prst="rect">
                      <a:avLst/>
                    </a:prstGeom>
                  </pic:spPr>
                </pic:pic>
              </a:graphicData>
            </a:graphic>
          </wp:anchor>
        </w:drawing>
      </w:r>
      <w:r w:rsidRPr="008474CD">
        <w:rPr>
          <w:sz w:val="22"/>
        </w:rPr>
        <w:t>Parent/Guardian Signature:</w:t>
      </w:r>
      <w:r w:rsidRPr="008474CD">
        <w:rPr>
          <w:sz w:val="22"/>
        </w:rPr>
        <w:tab/>
        <w:t>Date</w:t>
      </w:r>
    </w:p>
    <w:p w14:paraId="5BBF4C88" w14:textId="77777777" w:rsidR="008A2C98" w:rsidRPr="008474CD" w:rsidRDefault="00DA27FC">
      <w:pPr>
        <w:tabs>
          <w:tab w:val="center" w:pos="7035"/>
        </w:tabs>
        <w:ind w:left="0" w:firstLine="0"/>
        <w:rPr>
          <w:sz w:val="22"/>
        </w:rPr>
      </w:pPr>
      <w:r w:rsidRPr="008474CD">
        <w:rPr>
          <w:sz w:val="22"/>
        </w:rPr>
        <w:t>Witness Signature:</w:t>
      </w:r>
      <w:r w:rsidRPr="008474CD">
        <w:rPr>
          <w:sz w:val="22"/>
        </w:rPr>
        <w:tab/>
        <w:t>Date</w:t>
      </w:r>
    </w:p>
    <w:p w14:paraId="5F58A51D" w14:textId="780138D5" w:rsidR="008A2C98" w:rsidRPr="008474CD" w:rsidRDefault="00DA27FC" w:rsidP="008474CD">
      <w:pPr>
        <w:spacing w:after="12" w:line="259" w:lineRule="auto"/>
        <w:ind w:left="1845" w:firstLine="0"/>
        <w:rPr>
          <w:sz w:val="22"/>
        </w:rPr>
      </w:pPr>
      <w:r w:rsidRPr="008474CD">
        <w:rPr>
          <w:noProof/>
          <w:sz w:val="22"/>
        </w:rPr>
        <w:drawing>
          <wp:inline distT="0" distB="0" distL="0" distR="0" wp14:anchorId="0EFA76FD" wp14:editId="39B377F1">
            <wp:extent cx="5318921" cy="36576"/>
            <wp:effectExtent l="0" t="0" r="0" b="0"/>
            <wp:docPr id="4065" name="Picture 4065"/>
            <wp:cNvGraphicFramePr/>
            <a:graphic xmlns:a="http://schemas.openxmlformats.org/drawingml/2006/main">
              <a:graphicData uri="http://schemas.openxmlformats.org/drawingml/2006/picture">
                <pic:pic xmlns:pic="http://schemas.openxmlformats.org/drawingml/2006/picture">
                  <pic:nvPicPr>
                    <pic:cNvPr id="4065" name="Picture 4065"/>
                    <pic:cNvPicPr/>
                  </pic:nvPicPr>
                  <pic:blipFill>
                    <a:blip r:embed="rId10"/>
                    <a:stretch>
                      <a:fillRect/>
                    </a:stretch>
                  </pic:blipFill>
                  <pic:spPr>
                    <a:xfrm>
                      <a:off x="0" y="0"/>
                      <a:ext cx="5318921" cy="36576"/>
                    </a:xfrm>
                    <a:prstGeom prst="rect">
                      <a:avLst/>
                    </a:prstGeom>
                  </pic:spPr>
                </pic:pic>
              </a:graphicData>
            </a:graphic>
          </wp:inline>
        </w:drawing>
      </w:r>
    </w:p>
    <w:sectPr w:rsidR="008A2C98" w:rsidRPr="008474CD" w:rsidSect="006F6847">
      <w:headerReference w:type="default" r:id="rId11"/>
      <w:headerReference w:type="first" r:id="rId12"/>
      <w:pgSz w:w="12240" w:h="15840"/>
      <w:pgMar w:top="1440" w:right="851" w:bottom="1440" w:left="649" w:header="144" w:footer="72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BC3D0CA" w14:textId="77777777" w:rsidR="002A56B6" w:rsidRDefault="002A56B6" w:rsidP="00DA27FC">
      <w:pPr>
        <w:spacing w:line="240" w:lineRule="auto"/>
      </w:pPr>
      <w:r>
        <w:separator/>
      </w:r>
    </w:p>
  </w:endnote>
  <w:endnote w:type="continuationSeparator" w:id="0">
    <w:p w14:paraId="302052EE" w14:textId="77777777" w:rsidR="002A56B6" w:rsidRDefault="002A56B6" w:rsidP="00DA27F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4AFBFAA" w14:textId="77777777" w:rsidR="002A56B6" w:rsidRDefault="002A56B6" w:rsidP="00DA27FC">
      <w:pPr>
        <w:spacing w:line="240" w:lineRule="auto"/>
      </w:pPr>
      <w:r>
        <w:separator/>
      </w:r>
    </w:p>
  </w:footnote>
  <w:footnote w:type="continuationSeparator" w:id="0">
    <w:p w14:paraId="664B09CC" w14:textId="77777777" w:rsidR="002A56B6" w:rsidRDefault="002A56B6" w:rsidP="00DA27FC">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4325A05" w14:textId="29FC6A04" w:rsidR="00DA27FC" w:rsidRDefault="00DA27FC" w:rsidP="006F6847">
    <w:pPr>
      <w:pStyle w:val="Header"/>
      <w:ind w:left="0" w:firstLine="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57E0FEB" w14:textId="58776058" w:rsidR="006F6847" w:rsidRPr="00E869BF" w:rsidRDefault="006F6847" w:rsidP="006F6847">
    <w:pPr>
      <w:pStyle w:val="Header"/>
      <w:rPr>
        <w:sz w:val="22"/>
      </w:rPr>
    </w:pPr>
    <w:r>
      <w:rPr>
        <w:sz w:val="22"/>
      </w:rPr>
      <w:t xml:space="preserve">                                                                                  </w:t>
    </w:r>
    <w:r w:rsidR="008474CD">
      <w:rPr>
        <w:sz w:val="22"/>
      </w:rPr>
      <w:t xml:space="preserve">  </w:t>
    </w:r>
    <w:r w:rsidRPr="00E869BF">
      <w:rPr>
        <w:noProof/>
        <w:sz w:val="22"/>
      </w:rPr>
      <w:drawing>
        <wp:inline distT="0" distB="0" distL="0" distR="0" wp14:anchorId="7F18BDED" wp14:editId="60349F9B">
          <wp:extent cx="1423283" cy="1269847"/>
          <wp:effectExtent l="0" t="0" r="5715" b="698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43790" cy="1288143"/>
                  </a:xfrm>
                  <a:prstGeom prst="rect">
                    <a:avLst/>
                  </a:prstGeom>
                  <a:noFill/>
                </pic:spPr>
              </pic:pic>
            </a:graphicData>
          </a:graphic>
        </wp:inline>
      </w:drawing>
    </w:r>
  </w:p>
  <w:p w14:paraId="603583C2" w14:textId="77777777" w:rsidR="006F6847" w:rsidRPr="00E869BF" w:rsidRDefault="006F6847" w:rsidP="006F6847">
    <w:pPr>
      <w:pStyle w:val="Header"/>
      <w:jc w:val="center"/>
      <w:rPr>
        <w:sz w:val="22"/>
      </w:rPr>
    </w:pPr>
    <w:r w:rsidRPr="00E869BF">
      <w:rPr>
        <w:sz w:val="22"/>
      </w:rPr>
      <w:t xml:space="preserve">4250 S. </w:t>
    </w:r>
    <w:proofErr w:type="spellStart"/>
    <w:r w:rsidRPr="00E869BF">
      <w:rPr>
        <w:sz w:val="22"/>
      </w:rPr>
      <w:t>Westnedge</w:t>
    </w:r>
    <w:proofErr w:type="spellEnd"/>
    <w:r w:rsidRPr="00E869BF">
      <w:rPr>
        <w:sz w:val="22"/>
      </w:rPr>
      <w:t xml:space="preserve"> Kalamazoo MI 49008 </w:t>
    </w:r>
  </w:p>
  <w:p w14:paraId="000C9E12" w14:textId="77777777" w:rsidR="006F6847" w:rsidRPr="00E869BF" w:rsidRDefault="006F6847" w:rsidP="006F6847">
    <w:pPr>
      <w:pStyle w:val="Header"/>
      <w:jc w:val="center"/>
      <w:rPr>
        <w:sz w:val="22"/>
      </w:rPr>
    </w:pPr>
    <w:r w:rsidRPr="00E869BF">
      <w:rPr>
        <w:sz w:val="22"/>
      </w:rPr>
      <w:t>Email: counsel@awakeningscc.com Phone: 269-234-2343</w:t>
    </w:r>
  </w:p>
  <w:p w14:paraId="1ECC1085" w14:textId="77777777" w:rsidR="006F6847" w:rsidRDefault="006F684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0D02BD5"/>
    <w:multiLevelType w:val="hybridMultilevel"/>
    <w:tmpl w:val="AC0E1BD6"/>
    <w:lvl w:ilvl="0" w:tplc="04090001">
      <w:start w:val="1"/>
      <w:numFmt w:val="bullet"/>
      <w:lvlText w:val=""/>
      <w:lvlJc w:val="left"/>
      <w:pPr>
        <w:ind w:left="752" w:hanging="360"/>
      </w:pPr>
      <w:rPr>
        <w:rFonts w:ascii="Symbol" w:hAnsi="Symbol" w:hint="default"/>
      </w:rPr>
    </w:lvl>
    <w:lvl w:ilvl="1" w:tplc="04090003" w:tentative="1">
      <w:start w:val="1"/>
      <w:numFmt w:val="bullet"/>
      <w:lvlText w:val="o"/>
      <w:lvlJc w:val="left"/>
      <w:pPr>
        <w:ind w:left="1472" w:hanging="360"/>
      </w:pPr>
      <w:rPr>
        <w:rFonts w:ascii="Courier New" w:hAnsi="Courier New" w:cs="Courier New" w:hint="default"/>
      </w:rPr>
    </w:lvl>
    <w:lvl w:ilvl="2" w:tplc="04090005" w:tentative="1">
      <w:start w:val="1"/>
      <w:numFmt w:val="bullet"/>
      <w:lvlText w:val=""/>
      <w:lvlJc w:val="left"/>
      <w:pPr>
        <w:ind w:left="2192" w:hanging="360"/>
      </w:pPr>
      <w:rPr>
        <w:rFonts w:ascii="Wingdings" w:hAnsi="Wingdings" w:hint="default"/>
      </w:rPr>
    </w:lvl>
    <w:lvl w:ilvl="3" w:tplc="04090001" w:tentative="1">
      <w:start w:val="1"/>
      <w:numFmt w:val="bullet"/>
      <w:lvlText w:val=""/>
      <w:lvlJc w:val="left"/>
      <w:pPr>
        <w:ind w:left="2912" w:hanging="360"/>
      </w:pPr>
      <w:rPr>
        <w:rFonts w:ascii="Symbol" w:hAnsi="Symbol" w:hint="default"/>
      </w:rPr>
    </w:lvl>
    <w:lvl w:ilvl="4" w:tplc="04090003" w:tentative="1">
      <w:start w:val="1"/>
      <w:numFmt w:val="bullet"/>
      <w:lvlText w:val="o"/>
      <w:lvlJc w:val="left"/>
      <w:pPr>
        <w:ind w:left="3632" w:hanging="360"/>
      </w:pPr>
      <w:rPr>
        <w:rFonts w:ascii="Courier New" w:hAnsi="Courier New" w:cs="Courier New" w:hint="default"/>
      </w:rPr>
    </w:lvl>
    <w:lvl w:ilvl="5" w:tplc="04090005" w:tentative="1">
      <w:start w:val="1"/>
      <w:numFmt w:val="bullet"/>
      <w:lvlText w:val=""/>
      <w:lvlJc w:val="left"/>
      <w:pPr>
        <w:ind w:left="4352" w:hanging="360"/>
      </w:pPr>
      <w:rPr>
        <w:rFonts w:ascii="Wingdings" w:hAnsi="Wingdings" w:hint="default"/>
      </w:rPr>
    </w:lvl>
    <w:lvl w:ilvl="6" w:tplc="04090001" w:tentative="1">
      <w:start w:val="1"/>
      <w:numFmt w:val="bullet"/>
      <w:lvlText w:val=""/>
      <w:lvlJc w:val="left"/>
      <w:pPr>
        <w:ind w:left="5072" w:hanging="360"/>
      </w:pPr>
      <w:rPr>
        <w:rFonts w:ascii="Symbol" w:hAnsi="Symbol" w:hint="default"/>
      </w:rPr>
    </w:lvl>
    <w:lvl w:ilvl="7" w:tplc="04090003" w:tentative="1">
      <w:start w:val="1"/>
      <w:numFmt w:val="bullet"/>
      <w:lvlText w:val="o"/>
      <w:lvlJc w:val="left"/>
      <w:pPr>
        <w:ind w:left="5792" w:hanging="360"/>
      </w:pPr>
      <w:rPr>
        <w:rFonts w:ascii="Courier New" w:hAnsi="Courier New" w:cs="Courier New" w:hint="default"/>
      </w:rPr>
    </w:lvl>
    <w:lvl w:ilvl="8" w:tplc="04090005" w:tentative="1">
      <w:start w:val="1"/>
      <w:numFmt w:val="bullet"/>
      <w:lvlText w:val=""/>
      <w:lvlJc w:val="left"/>
      <w:pPr>
        <w:ind w:left="6512" w:hanging="360"/>
      </w:pPr>
      <w:rPr>
        <w:rFonts w:ascii="Wingdings" w:hAnsi="Wingdings" w:hint="default"/>
      </w:rPr>
    </w:lvl>
  </w:abstractNum>
  <w:abstractNum w:abstractNumId="1" w15:restartNumberingAfterBreak="0">
    <w:nsid w:val="2BD668B9"/>
    <w:multiLevelType w:val="hybridMultilevel"/>
    <w:tmpl w:val="B69C35A6"/>
    <w:lvl w:ilvl="0" w:tplc="9C644B26">
      <w:start w:val="1"/>
      <w:numFmt w:val="bullet"/>
      <w:lvlText w:val="•"/>
      <w:lvlJc w:val="left"/>
      <w:pPr>
        <w:ind w:left="28"/>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1" w:tplc="7D7A27D4">
      <w:start w:val="1"/>
      <w:numFmt w:val="bullet"/>
      <w:lvlText w:val="o"/>
      <w:lvlJc w:val="left"/>
      <w:pPr>
        <w:ind w:left="1109"/>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2" w:tplc="58BCB9D0">
      <w:start w:val="1"/>
      <w:numFmt w:val="bullet"/>
      <w:lvlText w:val="▪"/>
      <w:lvlJc w:val="left"/>
      <w:pPr>
        <w:ind w:left="1829"/>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tplc="CFA4662E">
      <w:start w:val="1"/>
      <w:numFmt w:val="bullet"/>
      <w:lvlText w:val="•"/>
      <w:lvlJc w:val="left"/>
      <w:pPr>
        <w:ind w:left="2549"/>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8CFACD7C">
      <w:start w:val="1"/>
      <w:numFmt w:val="bullet"/>
      <w:lvlText w:val="o"/>
      <w:lvlJc w:val="left"/>
      <w:pPr>
        <w:ind w:left="3269"/>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BDB20BC6">
      <w:start w:val="1"/>
      <w:numFmt w:val="bullet"/>
      <w:lvlText w:val="▪"/>
      <w:lvlJc w:val="left"/>
      <w:pPr>
        <w:ind w:left="3989"/>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29C49A66">
      <w:start w:val="1"/>
      <w:numFmt w:val="bullet"/>
      <w:lvlText w:val="•"/>
      <w:lvlJc w:val="left"/>
      <w:pPr>
        <w:ind w:left="4709"/>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B43CFEB2">
      <w:start w:val="1"/>
      <w:numFmt w:val="bullet"/>
      <w:lvlText w:val="o"/>
      <w:lvlJc w:val="left"/>
      <w:pPr>
        <w:ind w:left="5429"/>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A7B0B30E">
      <w:start w:val="1"/>
      <w:numFmt w:val="bullet"/>
      <w:lvlText w:val="▪"/>
      <w:lvlJc w:val="left"/>
      <w:pPr>
        <w:ind w:left="6149"/>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abstractNum w:abstractNumId="2" w15:restartNumberingAfterBreak="0">
    <w:nsid w:val="73A84AFE"/>
    <w:multiLevelType w:val="hybridMultilevel"/>
    <w:tmpl w:val="73EEDBAA"/>
    <w:lvl w:ilvl="0" w:tplc="04090001">
      <w:start w:val="1"/>
      <w:numFmt w:val="bullet"/>
      <w:lvlText w:val=""/>
      <w:lvlJc w:val="left"/>
      <w:pPr>
        <w:ind w:left="752" w:hanging="360"/>
      </w:pPr>
      <w:rPr>
        <w:rFonts w:ascii="Symbol" w:hAnsi="Symbol" w:hint="default"/>
      </w:rPr>
    </w:lvl>
    <w:lvl w:ilvl="1" w:tplc="04090003" w:tentative="1">
      <w:start w:val="1"/>
      <w:numFmt w:val="bullet"/>
      <w:lvlText w:val="o"/>
      <w:lvlJc w:val="left"/>
      <w:pPr>
        <w:ind w:left="1472" w:hanging="360"/>
      </w:pPr>
      <w:rPr>
        <w:rFonts w:ascii="Courier New" w:hAnsi="Courier New" w:cs="Courier New" w:hint="default"/>
      </w:rPr>
    </w:lvl>
    <w:lvl w:ilvl="2" w:tplc="04090005" w:tentative="1">
      <w:start w:val="1"/>
      <w:numFmt w:val="bullet"/>
      <w:lvlText w:val=""/>
      <w:lvlJc w:val="left"/>
      <w:pPr>
        <w:ind w:left="2192" w:hanging="360"/>
      </w:pPr>
      <w:rPr>
        <w:rFonts w:ascii="Wingdings" w:hAnsi="Wingdings" w:hint="default"/>
      </w:rPr>
    </w:lvl>
    <w:lvl w:ilvl="3" w:tplc="04090001" w:tentative="1">
      <w:start w:val="1"/>
      <w:numFmt w:val="bullet"/>
      <w:lvlText w:val=""/>
      <w:lvlJc w:val="left"/>
      <w:pPr>
        <w:ind w:left="2912" w:hanging="360"/>
      </w:pPr>
      <w:rPr>
        <w:rFonts w:ascii="Symbol" w:hAnsi="Symbol" w:hint="default"/>
      </w:rPr>
    </w:lvl>
    <w:lvl w:ilvl="4" w:tplc="04090003" w:tentative="1">
      <w:start w:val="1"/>
      <w:numFmt w:val="bullet"/>
      <w:lvlText w:val="o"/>
      <w:lvlJc w:val="left"/>
      <w:pPr>
        <w:ind w:left="3632" w:hanging="360"/>
      </w:pPr>
      <w:rPr>
        <w:rFonts w:ascii="Courier New" w:hAnsi="Courier New" w:cs="Courier New" w:hint="default"/>
      </w:rPr>
    </w:lvl>
    <w:lvl w:ilvl="5" w:tplc="04090005" w:tentative="1">
      <w:start w:val="1"/>
      <w:numFmt w:val="bullet"/>
      <w:lvlText w:val=""/>
      <w:lvlJc w:val="left"/>
      <w:pPr>
        <w:ind w:left="4352" w:hanging="360"/>
      </w:pPr>
      <w:rPr>
        <w:rFonts w:ascii="Wingdings" w:hAnsi="Wingdings" w:hint="default"/>
      </w:rPr>
    </w:lvl>
    <w:lvl w:ilvl="6" w:tplc="04090001" w:tentative="1">
      <w:start w:val="1"/>
      <w:numFmt w:val="bullet"/>
      <w:lvlText w:val=""/>
      <w:lvlJc w:val="left"/>
      <w:pPr>
        <w:ind w:left="5072" w:hanging="360"/>
      </w:pPr>
      <w:rPr>
        <w:rFonts w:ascii="Symbol" w:hAnsi="Symbol" w:hint="default"/>
      </w:rPr>
    </w:lvl>
    <w:lvl w:ilvl="7" w:tplc="04090003" w:tentative="1">
      <w:start w:val="1"/>
      <w:numFmt w:val="bullet"/>
      <w:lvlText w:val="o"/>
      <w:lvlJc w:val="left"/>
      <w:pPr>
        <w:ind w:left="5792" w:hanging="360"/>
      </w:pPr>
      <w:rPr>
        <w:rFonts w:ascii="Courier New" w:hAnsi="Courier New" w:cs="Courier New" w:hint="default"/>
      </w:rPr>
    </w:lvl>
    <w:lvl w:ilvl="8" w:tplc="04090005" w:tentative="1">
      <w:start w:val="1"/>
      <w:numFmt w:val="bullet"/>
      <w:lvlText w:val=""/>
      <w:lvlJc w:val="left"/>
      <w:pPr>
        <w:ind w:left="6512"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2C98"/>
    <w:rsid w:val="002A56B6"/>
    <w:rsid w:val="006F6847"/>
    <w:rsid w:val="00761F56"/>
    <w:rsid w:val="008474CD"/>
    <w:rsid w:val="008A2C98"/>
    <w:rsid w:val="00A51AE1"/>
    <w:rsid w:val="00D71D1A"/>
    <w:rsid w:val="00DA27FC"/>
    <w:rsid w:val="00EE2B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0E7DA2"/>
  <w15:docId w15:val="{2426ACD9-4692-43CA-8BF5-A7D83BCB0F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0" w:line="265" w:lineRule="auto"/>
      <w:ind w:left="43" w:firstLine="4"/>
    </w:pPr>
    <w:rPr>
      <w:rFonts w:ascii="Calibri" w:eastAsia="Calibri" w:hAnsi="Calibri" w:cs="Calibri"/>
      <w:color w:val="00000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A27FC"/>
    <w:pPr>
      <w:tabs>
        <w:tab w:val="center" w:pos="4680"/>
        <w:tab w:val="right" w:pos="9360"/>
      </w:tabs>
      <w:spacing w:line="240" w:lineRule="auto"/>
    </w:pPr>
  </w:style>
  <w:style w:type="character" w:customStyle="1" w:styleId="HeaderChar">
    <w:name w:val="Header Char"/>
    <w:basedOn w:val="DefaultParagraphFont"/>
    <w:link w:val="Header"/>
    <w:uiPriority w:val="99"/>
    <w:rsid w:val="00DA27FC"/>
    <w:rPr>
      <w:rFonts w:ascii="Calibri" w:eastAsia="Calibri" w:hAnsi="Calibri" w:cs="Calibri"/>
      <w:color w:val="000000"/>
      <w:sz w:val="24"/>
    </w:rPr>
  </w:style>
  <w:style w:type="paragraph" w:styleId="Footer">
    <w:name w:val="footer"/>
    <w:basedOn w:val="Normal"/>
    <w:link w:val="FooterChar"/>
    <w:uiPriority w:val="99"/>
    <w:unhideWhenUsed/>
    <w:rsid w:val="00DA27FC"/>
    <w:pPr>
      <w:tabs>
        <w:tab w:val="center" w:pos="4680"/>
        <w:tab w:val="right" w:pos="9360"/>
      </w:tabs>
      <w:spacing w:line="240" w:lineRule="auto"/>
    </w:pPr>
  </w:style>
  <w:style w:type="character" w:customStyle="1" w:styleId="FooterChar">
    <w:name w:val="Footer Char"/>
    <w:basedOn w:val="DefaultParagraphFont"/>
    <w:link w:val="Footer"/>
    <w:uiPriority w:val="99"/>
    <w:rsid w:val="00DA27FC"/>
    <w:rPr>
      <w:rFonts w:ascii="Calibri" w:eastAsia="Calibri" w:hAnsi="Calibri" w:cs="Calibri"/>
      <w:color w:val="000000"/>
      <w:sz w:val="24"/>
    </w:rPr>
  </w:style>
  <w:style w:type="paragraph" w:styleId="ListParagraph">
    <w:name w:val="List Paragraph"/>
    <w:basedOn w:val="Normal"/>
    <w:uiPriority w:val="34"/>
    <w:qFormat/>
    <w:rsid w:val="008474C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3.jpg"/><Relationship Id="rId4" Type="http://schemas.openxmlformats.org/officeDocument/2006/relationships/settings" Target="settings.xml"/><Relationship Id="rId9" Type="http://schemas.openxmlformats.org/officeDocument/2006/relationships/image" Target="media/image2.jpg"/><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4779866-8F40-4375-A479-768E566E81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332</Words>
  <Characters>1895</Characters>
  <Application>Microsoft Office Word</Application>
  <DocSecurity>0</DocSecurity>
  <Lines>15</Lines>
  <Paragraphs>4</Paragraphs>
  <ScaleCrop>false</ScaleCrop>
  <Company/>
  <LinksUpToDate>false</LinksUpToDate>
  <CharactersWithSpaces>2223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Lisa Klein</dc:creator>
  <cp:keywords/>
  <cp:lastModifiedBy>Lisa</cp:lastModifiedBy>
  <cp:revision>2</cp:revision>
  <dcterms:created xsi:type="dcterms:W3CDTF">2021-02-19T16:15:00Z</dcterms:created>
  <dcterms:modified xsi:type="dcterms:W3CDTF">2021-02-19T16:15:00Z</dcterms:modified>
</cp:coreProperties>
</file>